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05543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05543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BF1D8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BF1D8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2701D4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orientuje się w literaturze związanej bezpośrednio z kontekstem pracy licencjackiej,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45BD2" w:rsidRDefault="00745BD2" w:rsidP="00745BD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5BD2" w:rsidRDefault="00745BD2" w:rsidP="00745BD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5BD2" w:rsidRDefault="00745BD2" w:rsidP="00745BD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745BD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745BD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745BD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745BD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745BD2" w:rsidRDefault="00745BD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745BD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745BD2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 </w:t>
            </w:r>
            <w:r w:rsidR="00745BD2">
              <w:rPr>
                <w:rFonts w:ascii="Verdana" w:hAnsi="Verdana"/>
                <w:color w:val="000000"/>
                <w:sz w:val="16"/>
                <w:szCs w:val="16"/>
              </w:rPr>
              <w:t>Kurs Seminarium magisterskie B służy prowadzeniu przez studenta własnej pracy badawczej pod opieką promotora. W trakcie zajęć student wzbogaca swoją wiedzę i doskonali umiejętności potrzebne do przygotowania pracy magisterskiej. W trakcie seminarium student przedstawia jedną, zaawansowaną prezentację swojej pracy magisterskiej polegającej na omówieniu wybranego problemu badawczego swojej pracy. Prezentacja podlega omówieniu i wspólnej dyskusji.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2701D4" w:rsidRDefault="002701D4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AE3CEF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AE3CEF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obranym tematem z zakresu filozofii, estetyki, 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745BD2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745BD2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C3" w:rsidRDefault="00993FC3">
      <w:r>
        <w:separator/>
      </w:r>
    </w:p>
  </w:endnote>
  <w:endnote w:type="continuationSeparator" w:id="0">
    <w:p w:rsidR="00993FC3" w:rsidRDefault="0099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C24579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745BD2">
      <w:rPr>
        <w:noProof/>
      </w:rPr>
      <w:t>4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C3" w:rsidRDefault="00993FC3">
      <w:r>
        <w:separator/>
      </w:r>
    </w:p>
  </w:footnote>
  <w:footnote w:type="continuationSeparator" w:id="0">
    <w:p w:rsidR="00993FC3" w:rsidRDefault="0099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5543F"/>
    <w:rsid w:val="00226EBE"/>
    <w:rsid w:val="002555C2"/>
    <w:rsid w:val="002701D4"/>
    <w:rsid w:val="00280378"/>
    <w:rsid w:val="002A39E2"/>
    <w:rsid w:val="00535DCC"/>
    <w:rsid w:val="005E0251"/>
    <w:rsid w:val="00742295"/>
    <w:rsid w:val="00745BD2"/>
    <w:rsid w:val="00993FC3"/>
    <w:rsid w:val="00AE3CEF"/>
    <w:rsid w:val="00BF1D8F"/>
    <w:rsid w:val="00C24579"/>
    <w:rsid w:val="00C80DF2"/>
    <w:rsid w:val="00D27C27"/>
    <w:rsid w:val="00E20E95"/>
    <w:rsid w:val="00F24736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3</cp:revision>
  <cp:lastPrinted>2011-11-29T13:46:00Z</cp:lastPrinted>
  <dcterms:created xsi:type="dcterms:W3CDTF">2016-11-13T22:13:00Z</dcterms:created>
  <dcterms:modified xsi:type="dcterms:W3CDTF">2017-10-12T22:17:00Z</dcterms:modified>
</cp:coreProperties>
</file>